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667" w:rsidRPr="00735A87" w:rsidRDefault="00C66667" w:rsidP="00C6666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35A87">
        <w:rPr>
          <w:b/>
          <w:sz w:val="22"/>
          <w:szCs w:val="22"/>
        </w:rPr>
        <w:t>Pakuotės lapelis: informacija vartotojui</w:t>
      </w:r>
    </w:p>
    <w:p w:rsidR="00C66667" w:rsidRPr="00735A87" w:rsidRDefault="00C66667" w:rsidP="00C66667">
      <w:pPr>
        <w:jc w:val="center"/>
        <w:rPr>
          <w:b/>
          <w:sz w:val="22"/>
          <w:szCs w:val="22"/>
        </w:rPr>
      </w:pPr>
    </w:p>
    <w:p w:rsidR="00C66667" w:rsidRPr="00735A87" w:rsidRDefault="00C66667" w:rsidP="00C66667">
      <w:pPr>
        <w:pStyle w:val="BTbeEMEASMCA"/>
      </w:pPr>
      <w:r w:rsidRPr="00735A87">
        <w:t xml:space="preserve">Enterol 250 mg milteliai geriamajai suspensijai </w:t>
      </w:r>
    </w:p>
    <w:p w:rsidR="00C66667" w:rsidRPr="00735A87" w:rsidRDefault="00C66667" w:rsidP="00C66667">
      <w:pPr>
        <w:pStyle w:val="BTbeEMEASMCA"/>
      </w:pPr>
      <w:r w:rsidRPr="00735A87">
        <w:t xml:space="preserve">Enterol 250 mg kietosios kapsulės </w:t>
      </w:r>
    </w:p>
    <w:p w:rsidR="00C66667" w:rsidRPr="00735A87" w:rsidRDefault="00C66667" w:rsidP="00C66667">
      <w:pPr>
        <w:jc w:val="center"/>
        <w:rPr>
          <w:i/>
          <w:sz w:val="22"/>
          <w:szCs w:val="22"/>
        </w:rPr>
      </w:pP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 w:rsidDel="004041C1">
        <w:rPr>
          <w:i/>
          <w:sz w:val="22"/>
          <w:szCs w:val="22"/>
        </w:rPr>
        <w:t xml:space="preserve"> </w:t>
      </w:r>
      <w:r w:rsidRPr="00D519A3">
        <w:t>CNCM I-745</w:t>
      </w:r>
    </w:p>
    <w:p w:rsidR="00C66667" w:rsidRPr="00735A87" w:rsidRDefault="00C66667" w:rsidP="00C66667">
      <w:pPr>
        <w:pStyle w:val="BTeEMEASMCA"/>
      </w:pPr>
    </w:p>
    <w:p w:rsidR="00C66667" w:rsidRPr="007E15F7" w:rsidRDefault="00C66667" w:rsidP="00C66667">
      <w:pPr>
        <w:pStyle w:val="BTbEMEASMCA"/>
        <w:rPr>
          <w:b/>
          <w:bCs w:val="0"/>
        </w:rPr>
      </w:pPr>
      <w:r w:rsidRPr="007E15F7">
        <w:rPr>
          <w:b/>
          <w:bCs w:val="0"/>
        </w:rPr>
        <w:t>Atidžiai perskaitykite visą šį lapelį, prieš pradėdami vartoti  šį vaistą, nes jame pateikiama Jums svarbi informacija.</w:t>
      </w:r>
    </w:p>
    <w:p w:rsidR="00C66667" w:rsidRPr="00364072" w:rsidRDefault="00C66667" w:rsidP="00C66667">
      <w:pPr>
        <w:pStyle w:val="BTbEMEASMCA"/>
      </w:pPr>
      <w:r w:rsidRPr="00364072">
        <w:t>Visada vartokite šį vaistą tiksliai kaip aprašyta šiame lapelyje arba kaip nurodė gydytojas arba vaistininkas.</w:t>
      </w:r>
    </w:p>
    <w:p w:rsidR="00C66667" w:rsidRPr="003C59BB" w:rsidRDefault="00C66667" w:rsidP="00C666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Neišmeskite šio lapelio, nes vėl gali prireikti jį perskaityti.</w:t>
      </w:r>
      <w:r w:rsidRPr="003C59BB">
        <w:rPr>
          <w:sz w:val="22"/>
          <w:szCs w:val="22"/>
        </w:rPr>
        <w:t xml:space="preserve"> </w:t>
      </w:r>
    </w:p>
    <w:p w:rsidR="00C66667" w:rsidRPr="003C59BB" w:rsidRDefault="00C66667" w:rsidP="00C666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Jeigu norite sužinoti daugiau arba pasitarti, kreipkitės į vaistininką.</w:t>
      </w:r>
    </w:p>
    <w:p w:rsidR="00C66667" w:rsidRPr="003C59BB" w:rsidRDefault="00C66667" w:rsidP="00C666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Jeigu pasireiškė šalutinis poveikis (net jeigu jis šiame lapelyje nenurodytas</w:t>
      </w:r>
      <w:r w:rsidRPr="00C11A75">
        <w:rPr>
          <w:noProof/>
          <w:sz w:val="22"/>
          <w:szCs w:val="22"/>
        </w:rPr>
        <w:t xml:space="preserve">), kreipkitės į gydytoją arba </w:t>
      </w:r>
      <w:r w:rsidRPr="003C59BB">
        <w:rPr>
          <w:noProof/>
          <w:sz w:val="22"/>
          <w:szCs w:val="22"/>
        </w:rPr>
        <w:t>vaistininką. Žr. 4 skyrių.</w:t>
      </w:r>
    </w:p>
    <w:p w:rsidR="00C66667" w:rsidRPr="003C59BB" w:rsidRDefault="00C66667" w:rsidP="00C666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11A75">
        <w:rPr>
          <w:noProof/>
          <w:sz w:val="22"/>
          <w:szCs w:val="22"/>
        </w:rPr>
        <w:t xml:space="preserve">Jeigu per </w:t>
      </w:r>
      <w:r>
        <w:rPr>
          <w:noProof/>
          <w:sz w:val="22"/>
          <w:szCs w:val="22"/>
        </w:rPr>
        <w:t>2</w:t>
      </w:r>
      <w:r w:rsidRPr="00C11A75">
        <w:rPr>
          <w:noProof/>
          <w:sz w:val="22"/>
          <w:szCs w:val="22"/>
        </w:rPr>
        <w:t xml:space="preserve"> dienas</w:t>
      </w:r>
      <w:r w:rsidRPr="003C59BB">
        <w:rPr>
          <w:noProof/>
          <w:sz w:val="22"/>
          <w:szCs w:val="22"/>
        </w:rPr>
        <w:t xml:space="preserve"> Jūsų savijauta nepagerėjo arba net pablogėjo, kreipkitės į gydytoją.</w:t>
      </w:r>
    </w:p>
    <w:p w:rsidR="00C66667" w:rsidRPr="008C65B8" w:rsidRDefault="00C66667" w:rsidP="00C66667">
      <w:pPr>
        <w:pStyle w:val="BTbEMEASMCA"/>
      </w:pPr>
    </w:p>
    <w:p w:rsidR="00C66667" w:rsidRPr="007E15F7" w:rsidRDefault="00C66667" w:rsidP="00C66667">
      <w:pPr>
        <w:pStyle w:val="BTbEMEASMCA"/>
        <w:rPr>
          <w:b/>
          <w:bCs w:val="0"/>
        </w:rPr>
      </w:pPr>
      <w:r w:rsidRPr="007E15F7">
        <w:rPr>
          <w:b/>
          <w:bCs w:val="0"/>
        </w:rPr>
        <w:t>Apie ką rašoma šiame lapelyje?</w:t>
      </w:r>
    </w:p>
    <w:p w:rsidR="00C66667" w:rsidRPr="00735A87" w:rsidRDefault="00C66667" w:rsidP="00C66667">
      <w:pPr>
        <w:pStyle w:val="BTbEMEASMCA"/>
      </w:pPr>
    </w:p>
    <w:p w:rsidR="00C66667" w:rsidRPr="00735A87" w:rsidRDefault="00C66667" w:rsidP="00C666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Kas yra </w:t>
      </w: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ir kam jis vartojamas</w:t>
      </w:r>
    </w:p>
    <w:p w:rsidR="00C66667" w:rsidRPr="00735A87" w:rsidRDefault="00C66667" w:rsidP="00C666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Kas žinotina prieš vartojant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:rsidR="00C66667" w:rsidRPr="00735A87" w:rsidRDefault="00C66667" w:rsidP="00C666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Kaip vartoti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:rsidR="00C66667" w:rsidRPr="00735A87" w:rsidRDefault="00C66667" w:rsidP="00C666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>Galimas šalutinis poveikis</w:t>
      </w:r>
    </w:p>
    <w:p w:rsidR="00C66667" w:rsidRPr="00735A87" w:rsidRDefault="00C66667" w:rsidP="00C666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Kaip laikyti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:rsidR="00C66667" w:rsidRPr="00735A87" w:rsidRDefault="00C66667" w:rsidP="00C66667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>Pakuotės turinys ir kita informacija</w:t>
      </w:r>
    </w:p>
    <w:p w:rsidR="00C6666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pStyle w:val="PI-1EMEASMCA"/>
      </w:pPr>
      <w:bookmarkStart w:id="1" w:name="_Toc129243139"/>
      <w:bookmarkStart w:id="2" w:name="_Toc129243264"/>
      <w:r w:rsidRPr="00735A87">
        <w:t>1.</w:t>
      </w:r>
      <w:r w:rsidRPr="00735A87">
        <w:tab/>
        <w:t xml:space="preserve">Kas yra </w:t>
      </w:r>
      <w:proofErr w:type="spellStart"/>
      <w:r w:rsidRPr="00735A87">
        <w:t>Enterol</w:t>
      </w:r>
      <w:proofErr w:type="spellEnd"/>
      <w:r w:rsidRPr="00735A87">
        <w:t xml:space="preserve"> ir kam jis vartojamas</w:t>
      </w:r>
      <w:bookmarkEnd w:id="1"/>
      <w:bookmarkEnd w:id="2"/>
      <w:r w:rsidRPr="00735A87" w:rsidDel="00B02BC6">
        <w:t xml:space="preserve"> 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vartojamas ūminio viduriavimo </w:t>
      </w:r>
      <w:r>
        <w:rPr>
          <w:sz w:val="22"/>
          <w:szCs w:val="22"/>
        </w:rPr>
        <w:t xml:space="preserve">pagalbiniam </w:t>
      </w:r>
      <w:r w:rsidRPr="00735A87">
        <w:rPr>
          <w:sz w:val="22"/>
          <w:szCs w:val="22"/>
        </w:rPr>
        <w:t>gydymui.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Enterol</w:t>
      </w:r>
      <w:proofErr w:type="spellEnd"/>
      <w:r>
        <w:rPr>
          <w:sz w:val="22"/>
          <w:szCs w:val="22"/>
        </w:rPr>
        <w:t xml:space="preserve"> vartojamas kartu su kitais vaistais nuo viduriavimo.</w:t>
      </w:r>
    </w:p>
    <w:p w:rsidR="00C66667" w:rsidRPr="00735A87" w:rsidRDefault="00C66667" w:rsidP="00C66667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3A1DFC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2</w:t>
      </w:r>
      <w:r w:rsidRPr="003A1DFC">
        <w:rPr>
          <w:noProof/>
          <w:sz w:val="22"/>
          <w:szCs w:val="22"/>
        </w:rPr>
        <w:t xml:space="preserve"> dienas</w:t>
      </w:r>
      <w:r w:rsidRPr="002E00A8">
        <w:rPr>
          <w:noProof/>
          <w:sz w:val="22"/>
          <w:szCs w:val="22"/>
        </w:rPr>
        <w:t xml:space="preserve"> Jūsų savijauta nepagerėjo arba net pablogėjo</w:t>
      </w:r>
      <w:r>
        <w:rPr>
          <w:noProof/>
          <w:sz w:val="22"/>
          <w:szCs w:val="22"/>
        </w:rPr>
        <w:t xml:space="preserve"> (</w:t>
      </w:r>
      <w:r w:rsidRPr="00735A87">
        <w:rPr>
          <w:sz w:val="22"/>
          <w:szCs w:val="22"/>
        </w:rPr>
        <w:t>išmatose būna kraujo pėdsakų ar pakyla temperatūra</w:t>
      </w:r>
      <w:r>
        <w:rPr>
          <w:sz w:val="22"/>
          <w:szCs w:val="22"/>
        </w:rPr>
        <w:t>)</w:t>
      </w:r>
      <w:r w:rsidRPr="003C59BB">
        <w:rPr>
          <w:noProof/>
          <w:sz w:val="22"/>
          <w:szCs w:val="22"/>
        </w:rPr>
        <w:t>, kreipkitės į gydytoją.</w:t>
      </w:r>
    </w:p>
    <w:p w:rsidR="00C66667" w:rsidRPr="00735A8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pStyle w:val="PI-1EMEASMCA"/>
      </w:pPr>
      <w:bookmarkStart w:id="3" w:name="_Toc129243140"/>
      <w:bookmarkStart w:id="4" w:name="_Toc129243265"/>
      <w:r w:rsidRPr="00735A87">
        <w:t>2.</w:t>
      </w:r>
      <w:r w:rsidRPr="00735A87">
        <w:tab/>
        <w:t xml:space="preserve">Kas žinotina prieš vartojant </w:t>
      </w:r>
      <w:proofErr w:type="spellStart"/>
      <w:r w:rsidRPr="00735A87">
        <w:t>Enterol</w:t>
      </w:r>
      <w:proofErr w:type="spellEnd"/>
      <w:r w:rsidRPr="00735A87">
        <w:t xml:space="preserve"> </w:t>
      </w:r>
    </w:p>
    <w:bookmarkEnd w:id="3"/>
    <w:bookmarkEnd w:id="4"/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vartoti </w:t>
      </w:r>
      <w:r>
        <w:t>draudžiama</w:t>
      </w:r>
      <w:r w:rsidRPr="00735A87">
        <w:t>:</w:t>
      </w:r>
    </w:p>
    <w:p w:rsidR="00C66667" w:rsidRDefault="00C66667" w:rsidP="00C66667">
      <w:pPr>
        <w:pStyle w:val="BT-EMEASMCA"/>
        <w:numPr>
          <w:ilvl w:val="0"/>
          <w:numId w:val="2"/>
        </w:numPr>
      </w:pPr>
      <w:r w:rsidRPr="00795845">
        <w:t xml:space="preserve">jeigu yra </w:t>
      </w:r>
      <w:r w:rsidRPr="00BB4A2C">
        <w:t>alergija veikliajai</w:t>
      </w:r>
      <w:r w:rsidRPr="00DC622B">
        <w:t xml:space="preserve"> medžiagai arba bet kuriai pagalbinei šio vaisto</w:t>
      </w:r>
      <w:r w:rsidRPr="004257C4">
        <w:t xml:space="preserve"> medžiagai (jos išvardytos 6 skyriuje)</w:t>
      </w:r>
      <w:r w:rsidRPr="004B25C5">
        <w:t>;</w:t>
      </w:r>
    </w:p>
    <w:p w:rsidR="00C66667" w:rsidRDefault="00C66667" w:rsidP="00C66667">
      <w:pPr>
        <w:pStyle w:val="BT-EMEASMCA"/>
        <w:numPr>
          <w:ilvl w:val="0"/>
          <w:numId w:val="2"/>
        </w:numPr>
      </w:pPr>
      <w:r>
        <w:t xml:space="preserve">jeigu yra alergija mielių grybeliui, ypač </w:t>
      </w:r>
      <w:r w:rsidRPr="006C45B2">
        <w:rPr>
          <w:i/>
        </w:rPr>
        <w:t>Saccharomyces boulardii</w:t>
      </w:r>
      <w:r>
        <w:t>;</w:t>
      </w:r>
    </w:p>
    <w:p w:rsidR="00C66667" w:rsidRDefault="00C66667" w:rsidP="00C66667">
      <w:pPr>
        <w:pStyle w:val="BTEMEASMCA"/>
        <w:numPr>
          <w:ilvl w:val="0"/>
          <w:numId w:val="2"/>
        </w:numPr>
      </w:pPr>
      <w:r w:rsidRPr="00795845">
        <w:t>jeigu nusilp</w:t>
      </w:r>
      <w:r>
        <w:t>usi</w:t>
      </w:r>
      <w:r w:rsidRPr="00795845">
        <w:t xml:space="preserve"> imuni</w:t>
      </w:r>
      <w:r>
        <w:t>nė sistema</w:t>
      </w:r>
      <w:r w:rsidRPr="00795845">
        <w:t xml:space="preserve"> (</w:t>
      </w:r>
      <w:r>
        <w:t xml:space="preserve">dėl </w:t>
      </w:r>
      <w:r w:rsidRPr="00735A87">
        <w:t>ŽIV infekcij</w:t>
      </w:r>
      <w:r>
        <w:t>os</w:t>
      </w:r>
      <w:r w:rsidRPr="00735A87">
        <w:t>, chemoterapij</w:t>
      </w:r>
      <w:r>
        <w:t>os</w:t>
      </w:r>
      <w:r w:rsidRPr="00735A87">
        <w:t xml:space="preserve">, </w:t>
      </w:r>
      <w:r>
        <w:t xml:space="preserve">po </w:t>
      </w:r>
      <w:r w:rsidRPr="00735A87">
        <w:t>organų persodinim</w:t>
      </w:r>
      <w:r>
        <w:t>o</w:t>
      </w:r>
      <w:r w:rsidRPr="00735A87">
        <w:t>,</w:t>
      </w:r>
      <w:r>
        <w:t xml:space="preserve"> sergant</w:t>
      </w:r>
      <w:r w:rsidRPr="00735A87">
        <w:t xml:space="preserve"> leukemija, piktybiniai</w:t>
      </w:r>
      <w:r>
        <w:t>s</w:t>
      </w:r>
      <w:r w:rsidRPr="00735A87">
        <w:t xml:space="preserve"> navikai</w:t>
      </w:r>
      <w:r>
        <w:t>s</w:t>
      </w:r>
      <w:r w:rsidRPr="00735A87">
        <w:t>, gyd</w:t>
      </w:r>
      <w:r>
        <w:t>ant</w:t>
      </w:r>
      <w:r w:rsidRPr="00735A87">
        <w:t xml:space="preserve"> švitinimu radioaktyviaisiais spinduliais, ilgalaikis gydymas didelėmis kortikosteroidų dozėmis)</w:t>
      </w:r>
      <w:r>
        <w:t xml:space="preserve"> ar esate gydomas ligoninėje (dėl sunkios ligos arba imuninės sistemos pažeidimo ar nusilpimo);</w:t>
      </w:r>
    </w:p>
    <w:p w:rsidR="00C66667" w:rsidRDefault="00C66667" w:rsidP="00C66667">
      <w:pPr>
        <w:pStyle w:val="BT-EMEASMCA"/>
        <w:numPr>
          <w:ilvl w:val="0"/>
          <w:numId w:val="2"/>
        </w:numPr>
      </w:pPr>
      <w:r>
        <w:t>jeigu įstatytas centrinės venos</w:t>
      </w:r>
      <w:r w:rsidRPr="00795845">
        <w:t xml:space="preserve"> kateteris;</w:t>
      </w:r>
    </w:p>
    <w:p w:rsidR="00C66667" w:rsidRPr="00DC622B" w:rsidRDefault="00C66667" w:rsidP="00C66667">
      <w:pPr>
        <w:pStyle w:val="BT-EMEASMCA"/>
        <w:numPr>
          <w:ilvl w:val="0"/>
          <w:numId w:val="2"/>
        </w:numPr>
      </w:pPr>
      <w:r w:rsidRPr="00DC622B">
        <w:t>jeigu pacientas</w:t>
      </w:r>
      <w:r>
        <w:t xml:space="preserve"> yra</w:t>
      </w:r>
      <w:r w:rsidRPr="00DC622B">
        <w:t xml:space="preserve"> jaunesnis </w:t>
      </w:r>
      <w:r>
        <w:t>kaip</w:t>
      </w:r>
      <w:r w:rsidRPr="00DC622B">
        <w:t xml:space="preserve"> 2 metų amžiaus</w:t>
      </w:r>
      <w:r>
        <w:t xml:space="preserve"> vaikas</w:t>
      </w:r>
      <w:r w:rsidRPr="00DC622B">
        <w:t>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3EMEASMCA"/>
      </w:pPr>
      <w:r w:rsidRPr="00735A87">
        <w:t>Įspėjimai ir atsargumo priemonės</w:t>
      </w:r>
    </w:p>
    <w:p w:rsidR="00C66667" w:rsidRDefault="00C66667" w:rsidP="00C66667">
      <w:pPr>
        <w:pStyle w:val="PI-3EMEASMCA"/>
        <w:rPr>
          <w:b w:val="0"/>
        </w:rPr>
      </w:pPr>
      <w:r>
        <w:rPr>
          <w:b w:val="0"/>
        </w:rPr>
        <w:t xml:space="preserve">Pasitarkite su gydytoju arba vaistininku, prieš pradėdami vartoti </w:t>
      </w:r>
      <w:proofErr w:type="spellStart"/>
      <w:r>
        <w:rPr>
          <w:b w:val="0"/>
        </w:rPr>
        <w:t>Enterol</w:t>
      </w:r>
      <w:proofErr w:type="spellEnd"/>
      <w:r>
        <w:rPr>
          <w:b w:val="0"/>
        </w:rPr>
        <w:t>.</w:t>
      </w:r>
    </w:p>
    <w:p w:rsidR="00C66667" w:rsidRPr="00735A8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pStyle w:val="BTEMEASMCA"/>
      </w:pPr>
      <w:r w:rsidRPr="00735A87">
        <w:rPr>
          <w:i/>
        </w:rPr>
        <w:t xml:space="preserve">Saccharomyces boulardii </w:t>
      </w:r>
      <w:r w:rsidRPr="00537174">
        <w:t>CNCM I-745</w:t>
      </w:r>
      <w:r>
        <w:t xml:space="preserve"> </w:t>
      </w:r>
      <w:r w:rsidRPr="00735A87">
        <w:t xml:space="preserve">yra gyvi mikroorganizmai, kurie gali būti susiję su sistemine grybeline infekcija: pavienių </w:t>
      </w:r>
      <w:r>
        <w:t>sisteminės grybelinės infekcijos</w:t>
      </w:r>
      <w:r w:rsidRPr="00735A87">
        <w:t xml:space="preserve"> atvejų pasitaikė tarp pacientų, kuriems buvo įs</w:t>
      </w:r>
      <w:r>
        <w:t>taty</w:t>
      </w:r>
      <w:r w:rsidRPr="00735A87">
        <w:t>tas</w:t>
      </w:r>
      <w:r>
        <w:t xml:space="preserve"> </w:t>
      </w:r>
      <w:r w:rsidRPr="00735A87">
        <w:t>centrin</w:t>
      </w:r>
      <w:r>
        <w:t>ės</w:t>
      </w:r>
      <w:r w:rsidRPr="00735A87">
        <w:t xml:space="preserve"> ven</w:t>
      </w:r>
      <w:r>
        <w:t>os</w:t>
      </w:r>
      <w:r w:rsidRPr="00735A87">
        <w:t xml:space="preserve"> kateteris.</w:t>
      </w:r>
    </w:p>
    <w:p w:rsidR="00C66667" w:rsidRDefault="00C66667" w:rsidP="00C66667">
      <w:pPr>
        <w:pStyle w:val="PI-3EMEASMCA"/>
        <w:rPr>
          <w:b w:val="0"/>
        </w:rPr>
      </w:pPr>
    </w:p>
    <w:p w:rsidR="00C66667" w:rsidRDefault="00C66667" w:rsidP="00C66667">
      <w:pPr>
        <w:pStyle w:val="PI-3EMEASMCA"/>
        <w:rPr>
          <w:b w:val="0"/>
        </w:rPr>
      </w:pPr>
      <w:r w:rsidRPr="00735A87">
        <w:rPr>
          <w:b w:val="0"/>
        </w:rPr>
        <w:t xml:space="preserve">Šis vaistas nepakeičia </w:t>
      </w:r>
      <w:proofErr w:type="spellStart"/>
      <w:r w:rsidRPr="00735A87">
        <w:rPr>
          <w:b w:val="0"/>
        </w:rPr>
        <w:t>rehidracijos</w:t>
      </w:r>
      <w:proofErr w:type="spellEnd"/>
      <w:r>
        <w:rPr>
          <w:b w:val="0"/>
        </w:rPr>
        <w:t xml:space="preserve"> (normalaus organizmo skysčio tūrio ir sudėties palaikymo)</w:t>
      </w:r>
      <w:r w:rsidRPr="00735A87">
        <w:rPr>
          <w:b w:val="0"/>
        </w:rPr>
        <w:t xml:space="preserve">, jei jos reikia. </w:t>
      </w:r>
      <w:proofErr w:type="spellStart"/>
      <w:r w:rsidRPr="00735A87">
        <w:rPr>
          <w:b w:val="0"/>
        </w:rPr>
        <w:t>Rehidracijos</w:t>
      </w:r>
      <w:proofErr w:type="spellEnd"/>
      <w:r w:rsidRPr="00735A87">
        <w:rPr>
          <w:b w:val="0"/>
        </w:rPr>
        <w:t xml:space="preserve"> būdas (skysčių girdymas, lašinimas į veną) ir skysčių kiekis nustatomas atsižvelgiant į viduriavimo sunkumą, ligonio amžių ir sveikatos būklę.</w:t>
      </w:r>
      <w:r>
        <w:rPr>
          <w:b w:val="0"/>
        </w:rPr>
        <w:t xml:space="preserve"> </w:t>
      </w:r>
    </w:p>
    <w:p w:rsidR="00C66667" w:rsidRDefault="00C66667" w:rsidP="00C66667">
      <w:pPr>
        <w:pStyle w:val="PI-3EMEASMCA"/>
        <w:rPr>
          <w:b w:val="0"/>
        </w:rPr>
      </w:pPr>
    </w:p>
    <w:p w:rsidR="00C66667" w:rsidRPr="007E15F7" w:rsidRDefault="00C66667" w:rsidP="00C66667">
      <w:pPr>
        <w:pStyle w:val="BTEMEASMCA"/>
        <w:rPr>
          <w:b/>
          <w:bCs/>
        </w:rPr>
      </w:pPr>
      <w:r w:rsidRPr="007E15F7">
        <w:rPr>
          <w:b/>
          <w:bCs/>
        </w:rPr>
        <w:t xml:space="preserve">Vaikams </w:t>
      </w:r>
    </w:p>
    <w:p w:rsidR="00C66667" w:rsidRPr="00B964DB" w:rsidRDefault="00C66667" w:rsidP="00C66667">
      <w:pPr>
        <w:pStyle w:val="BTEMEASMCA"/>
      </w:pPr>
      <w:r w:rsidRPr="00735A87">
        <w:t>Saugumas ir veiksmingumas jaunesniems negu 2 metų amžiaus vaikams dar neištirti.</w:t>
      </w:r>
      <w:r>
        <w:t xml:space="preserve"> Vaisto negalima vartoti jaunesniems kaip 2 metų vaikams.</w:t>
      </w:r>
    </w:p>
    <w:p w:rsidR="00C66667" w:rsidRPr="00735A87" w:rsidRDefault="00C66667" w:rsidP="00C66667">
      <w:pPr>
        <w:pStyle w:val="BTEMEASMCA"/>
      </w:pPr>
    </w:p>
    <w:p w:rsidR="00C66667" w:rsidRDefault="00C66667" w:rsidP="00C66667">
      <w:pPr>
        <w:rPr>
          <w:sz w:val="22"/>
          <w:szCs w:val="22"/>
        </w:rPr>
      </w:pPr>
      <w:r w:rsidRPr="00735A87">
        <w:rPr>
          <w:b/>
          <w:sz w:val="22"/>
          <w:szCs w:val="22"/>
        </w:rPr>
        <w:t xml:space="preserve">Kiti vaistai ir </w:t>
      </w:r>
      <w:proofErr w:type="spellStart"/>
      <w:r w:rsidRPr="00735A87">
        <w:rPr>
          <w:b/>
          <w:sz w:val="22"/>
          <w:szCs w:val="22"/>
        </w:rPr>
        <w:t>Enterol</w:t>
      </w:r>
      <w:proofErr w:type="spellEnd"/>
    </w:p>
    <w:p w:rsidR="00C66667" w:rsidRDefault="00C66667" w:rsidP="00C66667">
      <w:pPr>
        <w:rPr>
          <w:sz w:val="22"/>
          <w:szCs w:val="22"/>
        </w:rPr>
      </w:pPr>
      <w:r w:rsidRPr="00907879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C66667" w:rsidRPr="00735A87" w:rsidRDefault="00C66667" w:rsidP="00C66667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yra vaistas iš grybelių, todėl jo negalima skirti kartu su </w:t>
      </w:r>
      <w:r>
        <w:rPr>
          <w:sz w:val="22"/>
          <w:szCs w:val="22"/>
        </w:rPr>
        <w:t>leidžia</w:t>
      </w:r>
      <w:r w:rsidRPr="00735A87">
        <w:rPr>
          <w:sz w:val="22"/>
          <w:szCs w:val="22"/>
        </w:rPr>
        <w:t>maisiais ar geriamaisiais priešgrybeliniais vaistais.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vartojimas su maistu, gėrimais ir alkoholiu</w:t>
      </w:r>
    </w:p>
    <w:p w:rsidR="00C66667" w:rsidRDefault="00C66667" w:rsidP="00C66667">
      <w:pPr>
        <w:pStyle w:val="BTEMEASMCA"/>
      </w:pPr>
      <w:r w:rsidRPr="00735A87">
        <w:t>Vaisto negalima gerti ar maišyti su labai šaltais ar labai karštais</w:t>
      </w:r>
      <w:r>
        <w:t xml:space="preserve"> </w:t>
      </w:r>
      <w:r w:rsidRPr="00735A87">
        <w:t>(daugiau kaip 50</w:t>
      </w:r>
      <w:r>
        <w:t> </w:t>
      </w:r>
      <w:r w:rsidRPr="00735A87">
        <w:t>°C) gėrimais ar maistu, bei su alkoholiniais gėrimais.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3EMEASMCA"/>
      </w:pPr>
      <w:r w:rsidRPr="00735A87">
        <w:t>Nėštumas, žindymo laikotarpis ir vaisingumas</w:t>
      </w:r>
    </w:p>
    <w:p w:rsidR="00C66667" w:rsidRPr="004B25C5" w:rsidRDefault="00C66667" w:rsidP="00C66667">
      <w:pPr>
        <w:pStyle w:val="BTEMEASMCA"/>
      </w:pPr>
      <w:r w:rsidRPr="00795845">
        <w:t>Jeigu esate nėščia, žindote kūdikį, manote, kad galbūt esate</w:t>
      </w:r>
      <w:r w:rsidRPr="004508C5">
        <w:t xml:space="preserve"> nėščia</w:t>
      </w:r>
      <w:r w:rsidRPr="00DC622B">
        <w:t>, arba planuojate pastoti, tai prieš vartodama šį vaistą, pasitarkite</w:t>
      </w:r>
      <w:r w:rsidRPr="00DC622B" w:rsidDel="00795845">
        <w:t xml:space="preserve"> </w:t>
      </w:r>
      <w:r w:rsidRPr="004257C4">
        <w:t>su gydytoju arba vaistininku.</w:t>
      </w:r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>Ar saugu šį vaistą vartoti nėštumo metu, nežinoma, todėl nėščios moterys jo turi nevartoti.</w:t>
      </w:r>
    </w:p>
    <w:p w:rsidR="00C66667" w:rsidRPr="00735A87" w:rsidRDefault="00C66667" w:rsidP="00C66667">
      <w:pPr>
        <w:pStyle w:val="BTEMEASMCA"/>
      </w:pPr>
      <w:r w:rsidRPr="00735A87">
        <w:t>Jei pastojote gydymo metu, pasikonsultuokite su gydytoju dėl tolimesnio vaisto vartojimo.</w:t>
      </w:r>
    </w:p>
    <w:p w:rsidR="00C66667" w:rsidRPr="00735A87" w:rsidRDefault="00C66667" w:rsidP="00C66667">
      <w:pPr>
        <w:pStyle w:val="BTEMEASMCA"/>
      </w:pPr>
      <w:r w:rsidRPr="00735A87">
        <w:t>Kadangi nėra tyrimo duomenų, žindyvėms taip pat reikėtų vengti vartoti šį vaistą.</w:t>
      </w:r>
    </w:p>
    <w:p w:rsidR="00C66667" w:rsidRPr="00735A87" w:rsidRDefault="00C66667" w:rsidP="00C66667">
      <w:pPr>
        <w:pStyle w:val="BTEMEASMCA"/>
      </w:pPr>
    </w:p>
    <w:p w:rsidR="00C66667" w:rsidRDefault="00C66667" w:rsidP="00C66667">
      <w:pPr>
        <w:rPr>
          <w:b/>
          <w:sz w:val="22"/>
          <w:szCs w:val="22"/>
        </w:rPr>
      </w:pPr>
      <w:proofErr w:type="spellStart"/>
      <w:r w:rsidRPr="00A22A35">
        <w:rPr>
          <w:b/>
          <w:sz w:val="22"/>
          <w:szCs w:val="22"/>
        </w:rPr>
        <w:t>Enterol</w:t>
      </w:r>
      <w:proofErr w:type="spellEnd"/>
      <w:r w:rsidRPr="00A22A35">
        <w:rPr>
          <w:b/>
          <w:sz w:val="22"/>
          <w:szCs w:val="22"/>
        </w:rPr>
        <w:t xml:space="preserve"> 250</w:t>
      </w:r>
      <w:r w:rsidRPr="00A779DF">
        <w:rPr>
          <w:b/>
          <w:sz w:val="22"/>
          <w:szCs w:val="22"/>
        </w:rPr>
        <w:t> </w:t>
      </w:r>
      <w:r w:rsidRPr="00A22A35">
        <w:rPr>
          <w:b/>
          <w:sz w:val="22"/>
          <w:szCs w:val="22"/>
        </w:rPr>
        <w:t>mg milteliai geriamajai suspensijai</w:t>
      </w:r>
      <w:r w:rsidRPr="00364072"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ir </w:t>
      </w:r>
      <w:proofErr w:type="spellStart"/>
      <w:r w:rsidRPr="00A22A35">
        <w:rPr>
          <w:b/>
          <w:sz w:val="22"/>
          <w:szCs w:val="22"/>
        </w:rPr>
        <w:t>Enterol</w:t>
      </w:r>
      <w:proofErr w:type="spellEnd"/>
      <w:r w:rsidRPr="00A22A35">
        <w:rPr>
          <w:b/>
          <w:sz w:val="22"/>
          <w:szCs w:val="22"/>
        </w:rPr>
        <w:t xml:space="preserve"> 250</w:t>
      </w:r>
      <w:r>
        <w:rPr>
          <w:b/>
          <w:sz w:val="22"/>
          <w:szCs w:val="22"/>
        </w:rPr>
        <w:t> </w:t>
      </w:r>
      <w:r w:rsidRPr="00A22A35">
        <w:rPr>
          <w:b/>
          <w:sz w:val="22"/>
          <w:szCs w:val="22"/>
        </w:rPr>
        <w:t>mg kietosios kapsulės</w:t>
      </w:r>
      <w:r>
        <w:rPr>
          <w:b/>
          <w:sz w:val="22"/>
          <w:szCs w:val="22"/>
        </w:rPr>
        <w:t xml:space="preserve"> sudėtyje yra laktozės </w:t>
      </w:r>
      <w:proofErr w:type="spellStart"/>
      <w:r>
        <w:rPr>
          <w:b/>
          <w:sz w:val="22"/>
          <w:szCs w:val="22"/>
        </w:rPr>
        <w:t>monohidrato</w:t>
      </w:r>
      <w:proofErr w:type="spellEnd"/>
      <w:r>
        <w:rPr>
          <w:b/>
          <w:sz w:val="22"/>
          <w:szCs w:val="22"/>
        </w:rPr>
        <w:t>.</w:t>
      </w:r>
    </w:p>
    <w:p w:rsidR="00C66667" w:rsidRDefault="00C66667" w:rsidP="00C66667">
      <w:pPr>
        <w:pStyle w:val="BTEMEASMCA"/>
      </w:pPr>
      <w:r w:rsidRPr="00735A87">
        <w:t>Jeigu gydytojas Jums yra sakęs, kad netoleruojate kokių nors angliavandenių, kreipkitės į jį prieš pradėdami vartoti šį vaistą.</w:t>
      </w:r>
    </w:p>
    <w:p w:rsidR="00C66667" w:rsidRDefault="00C66667" w:rsidP="00C66667">
      <w:pPr>
        <w:pStyle w:val="BTEMEASMCA"/>
      </w:pPr>
    </w:p>
    <w:p w:rsidR="00C66667" w:rsidRPr="00FB48BA" w:rsidRDefault="00C66667" w:rsidP="00C66667">
      <w:pPr>
        <w:pStyle w:val="BTEMEASMCA"/>
        <w:rPr>
          <w:b/>
          <w:bCs/>
        </w:rPr>
      </w:pPr>
      <w:r w:rsidRPr="00FB48BA">
        <w:rPr>
          <w:b/>
          <w:bCs/>
        </w:rPr>
        <w:t>Enterol 250</w:t>
      </w:r>
      <w:r>
        <w:rPr>
          <w:b/>
          <w:bCs/>
        </w:rPr>
        <w:t> </w:t>
      </w:r>
      <w:r w:rsidRPr="00FB48BA">
        <w:rPr>
          <w:b/>
          <w:bCs/>
        </w:rPr>
        <w:t>mg milteliai geriamajai suspensijai sudėtyje yra fruktozės</w:t>
      </w:r>
      <w:r>
        <w:rPr>
          <w:b/>
          <w:bCs/>
        </w:rPr>
        <w:t xml:space="preserve"> ir sorbitolio</w:t>
      </w:r>
      <w:r w:rsidRPr="00FB48BA">
        <w:rPr>
          <w:b/>
          <w:bCs/>
        </w:rPr>
        <w:t>.</w:t>
      </w:r>
    </w:p>
    <w:p w:rsidR="00C66667" w:rsidRPr="00394D87" w:rsidRDefault="00C66667" w:rsidP="00C66667">
      <w:pPr>
        <w:pStyle w:val="EMEAEnBodyText"/>
        <w:autoSpaceDE w:val="0"/>
        <w:autoSpaceDN w:val="0"/>
        <w:spacing w:before="0" w:after="0"/>
        <w:jc w:val="left"/>
        <w:rPr>
          <w:lang w:val="lt-LT"/>
        </w:rPr>
      </w:pPr>
      <w:r w:rsidRPr="00394D87">
        <w:rPr>
          <w:lang w:val="lt-LT"/>
        </w:rPr>
        <w:t>Kiekviename šio vaisto paketėlyje yra 471,90</w:t>
      </w:r>
      <w:r>
        <w:rPr>
          <w:lang w:val="lt-LT"/>
        </w:rPr>
        <w:t> </w:t>
      </w:r>
      <w:r w:rsidRPr="00394D87">
        <w:rPr>
          <w:lang w:val="lt-LT"/>
        </w:rPr>
        <w:t>mg fruktozės. Dažnai ar ilgai, pvz., dvi savaites ar ilgiau, vartojant fruktozė gali pažeisti dantis.</w:t>
      </w:r>
      <w:r>
        <w:rPr>
          <w:lang w:val="lt-LT"/>
        </w:rPr>
        <w:t xml:space="preserve"> </w:t>
      </w:r>
      <w:r w:rsidRPr="00394D87">
        <w:rPr>
          <w:lang w:val="lt-LT"/>
        </w:rPr>
        <w:t xml:space="preserve">Jeigu gydytojas yra sakęs, kad Jūs (ar Jūsų vaikas) netoleruojate kokių nors angliavandenių, ar Jums nustatytas retas genetinis sutrikimas įgimtas fruktozės netoleravimas (ĮFN), kurio </w:t>
      </w:r>
      <w:r>
        <w:rPr>
          <w:lang w:val="lt-LT"/>
        </w:rPr>
        <w:t>metu</w:t>
      </w:r>
      <w:r w:rsidRPr="00394D87">
        <w:rPr>
          <w:lang w:val="lt-LT"/>
        </w:rPr>
        <w:t xml:space="preserve"> organizmas negali suskaidyti fruktozės, prieš vartodami šio vaisto (ar prieš duodami jo Jūsų vaikui), pasakykite gydytojui.</w:t>
      </w:r>
    </w:p>
    <w:p w:rsidR="00C66667" w:rsidRPr="007E15F7" w:rsidRDefault="00C66667" w:rsidP="00C66667">
      <w:pPr>
        <w:pStyle w:val="EMEAEnBodyText"/>
        <w:autoSpaceDE w:val="0"/>
        <w:autoSpaceDN w:val="0"/>
        <w:spacing w:before="0" w:after="0"/>
        <w:jc w:val="left"/>
        <w:rPr>
          <w:lang w:val="lt-LT"/>
        </w:rPr>
      </w:pPr>
      <w:r w:rsidRPr="00394D87">
        <w:rPr>
          <w:lang w:val="lt-LT"/>
        </w:rPr>
        <w:t xml:space="preserve">Kiekviename šio vaisto paketėlyje yra </w:t>
      </w:r>
      <w:r>
        <w:rPr>
          <w:lang w:val="lt-LT"/>
        </w:rPr>
        <w:t>0</w:t>
      </w:r>
      <w:r w:rsidRPr="00394D87">
        <w:rPr>
          <w:lang w:val="lt-LT"/>
        </w:rPr>
        <w:t>,</w:t>
      </w:r>
      <w:r>
        <w:rPr>
          <w:lang w:val="lt-LT"/>
        </w:rPr>
        <w:t>1</w:t>
      </w:r>
      <w:r w:rsidRPr="00394D87">
        <w:rPr>
          <w:lang w:val="lt-LT"/>
        </w:rPr>
        <w:t xml:space="preserve">0 mg </w:t>
      </w:r>
      <w:proofErr w:type="spellStart"/>
      <w:r>
        <w:rPr>
          <w:lang w:val="lt-LT"/>
        </w:rPr>
        <w:t>sorbitolio</w:t>
      </w:r>
      <w:proofErr w:type="spellEnd"/>
      <w:r w:rsidRPr="00394D87">
        <w:rPr>
          <w:lang w:val="lt-LT"/>
        </w:rPr>
        <w:t>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1EMEASMCA"/>
      </w:pPr>
      <w:bookmarkStart w:id="5" w:name="_Toc129243141"/>
      <w:bookmarkStart w:id="6" w:name="_Toc129243266"/>
      <w:r w:rsidRPr="00735A87">
        <w:t>3.</w:t>
      </w:r>
      <w:r w:rsidRPr="00735A87">
        <w:tab/>
        <w:t xml:space="preserve">Kaip vartoti </w:t>
      </w:r>
      <w:proofErr w:type="spellStart"/>
      <w:r w:rsidRPr="00735A87">
        <w:t>Enterol</w:t>
      </w:r>
      <w:bookmarkEnd w:id="5"/>
      <w:bookmarkEnd w:id="6"/>
      <w:proofErr w:type="spellEnd"/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:rsidR="00C66667" w:rsidRPr="00735A87" w:rsidRDefault="00C66667" w:rsidP="00C66667">
      <w:pPr>
        <w:pStyle w:val="BTEMEASMCA"/>
      </w:pPr>
    </w:p>
    <w:p w:rsidR="00C66667" w:rsidRDefault="00C66667" w:rsidP="00C66667">
      <w:pPr>
        <w:rPr>
          <w:sz w:val="22"/>
          <w:szCs w:val="22"/>
          <w:u w:val="single"/>
        </w:rPr>
      </w:pPr>
      <w:proofErr w:type="spellStart"/>
      <w:r w:rsidRPr="00735A87">
        <w:rPr>
          <w:sz w:val="22"/>
          <w:szCs w:val="22"/>
          <w:u w:val="single"/>
        </w:rPr>
        <w:t>Enterol</w:t>
      </w:r>
      <w:proofErr w:type="spellEnd"/>
      <w:r w:rsidRPr="00735A87">
        <w:rPr>
          <w:sz w:val="22"/>
          <w:szCs w:val="22"/>
          <w:u w:val="single"/>
        </w:rPr>
        <w:t xml:space="preserve"> 250 mg milteliai geriamajai suspensijai</w:t>
      </w:r>
    </w:p>
    <w:p w:rsidR="00C66667" w:rsidRPr="00735A87" w:rsidRDefault="00C66667" w:rsidP="00C66667">
      <w:pPr>
        <w:rPr>
          <w:sz w:val="22"/>
          <w:szCs w:val="22"/>
          <w:u w:val="single"/>
        </w:rPr>
      </w:pPr>
    </w:p>
    <w:p w:rsidR="00C66667" w:rsidRDefault="00C66667" w:rsidP="00C66667">
      <w:pPr>
        <w:rPr>
          <w:sz w:val="22"/>
          <w:szCs w:val="22"/>
        </w:rPr>
      </w:pPr>
      <w:r w:rsidRPr="00735A87">
        <w:rPr>
          <w:i/>
          <w:sz w:val="22"/>
          <w:szCs w:val="22"/>
        </w:rPr>
        <w:t>Suaugusie</w:t>
      </w:r>
      <w:r>
        <w:rPr>
          <w:i/>
          <w:sz w:val="22"/>
          <w:szCs w:val="22"/>
        </w:rPr>
        <w:t>sie</w:t>
      </w:r>
      <w:r w:rsidRPr="00735A87">
        <w:rPr>
          <w:i/>
          <w:sz w:val="22"/>
          <w:szCs w:val="22"/>
        </w:rPr>
        <w:t>ms ir vyresniems nei 2 metų amžiaus vaikams</w:t>
      </w:r>
      <w:r w:rsidDel="00FF4C88">
        <w:rPr>
          <w:sz w:val="22"/>
          <w:szCs w:val="22"/>
        </w:rPr>
        <w:t xml:space="preserve"> </w:t>
      </w:r>
    </w:p>
    <w:p w:rsidR="00C66667" w:rsidRPr="00735A87" w:rsidRDefault="00C66667" w:rsidP="00C66667">
      <w:pPr>
        <w:rPr>
          <w:sz w:val="22"/>
          <w:szCs w:val="22"/>
        </w:rPr>
      </w:pPr>
      <w:r>
        <w:rPr>
          <w:sz w:val="22"/>
          <w:szCs w:val="22"/>
        </w:rPr>
        <w:t>Rekomenduojama</w:t>
      </w:r>
      <w:r w:rsidRPr="00735A87">
        <w:rPr>
          <w:sz w:val="22"/>
          <w:szCs w:val="22"/>
        </w:rPr>
        <w:t xml:space="preserve"> dozė yra 1 paketėli</w:t>
      </w:r>
      <w:r>
        <w:rPr>
          <w:sz w:val="22"/>
          <w:szCs w:val="22"/>
        </w:rPr>
        <w:t>s</w:t>
      </w:r>
      <w:r w:rsidRPr="00735A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vartojama </w:t>
      </w:r>
      <w:r w:rsidRPr="00735A87">
        <w:rPr>
          <w:sz w:val="22"/>
          <w:szCs w:val="22"/>
        </w:rPr>
        <w:t>vieną arba du kartus per parą.</w:t>
      </w:r>
    </w:p>
    <w:p w:rsidR="00C66667" w:rsidRDefault="00C66667" w:rsidP="00C66667">
      <w:pPr>
        <w:pStyle w:val="BTEMEASMCA"/>
      </w:pPr>
      <w:r>
        <w:t>Paros dozė yra 1–2 paketėliai.</w:t>
      </w:r>
    </w:p>
    <w:p w:rsidR="00C66667" w:rsidRPr="00364072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i/>
          <w:iCs/>
          <w:u w:val="single"/>
        </w:rPr>
      </w:pPr>
      <w:r w:rsidRPr="007E15F7">
        <w:rPr>
          <w:i/>
          <w:iCs/>
          <w:u w:val="single"/>
        </w:rPr>
        <w:t>Vartojimo metodas</w:t>
      </w:r>
    </w:p>
    <w:p w:rsidR="00C66667" w:rsidRPr="00735A87" w:rsidRDefault="00C66667" w:rsidP="00C66667">
      <w:pPr>
        <w:pStyle w:val="BTEMEASMCA"/>
      </w:pPr>
      <w:r w:rsidRPr="00735A87">
        <w:lastRenderedPageBreak/>
        <w:t>Paketėlio turinį supilti į nedidelį kiekį vandens ar saldinto gėrimo, sumaišyti ir išgerti. Miltelius taip pat galima maišyti su maistu</w:t>
      </w:r>
      <w:r>
        <w:t>.</w:t>
      </w:r>
    </w:p>
    <w:p w:rsidR="00C66667" w:rsidRPr="00735A87" w:rsidRDefault="00C66667" w:rsidP="00C66667">
      <w:pPr>
        <w:rPr>
          <w:sz w:val="22"/>
          <w:szCs w:val="22"/>
        </w:rPr>
      </w:pPr>
    </w:p>
    <w:p w:rsidR="00C66667" w:rsidRDefault="00C66667" w:rsidP="00C66667">
      <w:pPr>
        <w:rPr>
          <w:sz w:val="22"/>
          <w:szCs w:val="22"/>
          <w:u w:val="single"/>
        </w:rPr>
      </w:pPr>
      <w:proofErr w:type="spellStart"/>
      <w:r w:rsidRPr="00735A87">
        <w:rPr>
          <w:sz w:val="22"/>
          <w:szCs w:val="22"/>
          <w:u w:val="single"/>
        </w:rPr>
        <w:t>Enterol</w:t>
      </w:r>
      <w:proofErr w:type="spellEnd"/>
      <w:r w:rsidRPr="00735A87">
        <w:rPr>
          <w:sz w:val="22"/>
          <w:szCs w:val="22"/>
          <w:u w:val="single"/>
        </w:rPr>
        <w:t xml:space="preserve"> 250 mg kietosios kapsulės</w:t>
      </w:r>
    </w:p>
    <w:p w:rsidR="00C66667" w:rsidRPr="00735A87" w:rsidRDefault="00C66667" w:rsidP="00C66667">
      <w:pPr>
        <w:rPr>
          <w:sz w:val="22"/>
          <w:szCs w:val="22"/>
          <w:u w:val="single"/>
        </w:rPr>
      </w:pPr>
    </w:p>
    <w:p w:rsidR="00C66667" w:rsidRDefault="00C66667" w:rsidP="00C66667">
      <w:pPr>
        <w:rPr>
          <w:sz w:val="22"/>
          <w:szCs w:val="22"/>
        </w:rPr>
      </w:pPr>
      <w:r w:rsidRPr="00735A87">
        <w:rPr>
          <w:i/>
          <w:sz w:val="22"/>
          <w:szCs w:val="22"/>
        </w:rPr>
        <w:t>Suaugusie</w:t>
      </w:r>
      <w:r>
        <w:rPr>
          <w:i/>
          <w:sz w:val="22"/>
          <w:szCs w:val="22"/>
        </w:rPr>
        <w:t>sie</w:t>
      </w:r>
      <w:r w:rsidRPr="00735A87">
        <w:rPr>
          <w:i/>
          <w:sz w:val="22"/>
          <w:szCs w:val="22"/>
        </w:rPr>
        <w:t>ms ir vyresniems nei 2 metų amžiaus vaikams</w:t>
      </w:r>
      <w:r w:rsidDel="00FF4C88">
        <w:rPr>
          <w:sz w:val="22"/>
          <w:szCs w:val="22"/>
        </w:rPr>
        <w:t xml:space="preserve"> </w:t>
      </w:r>
    </w:p>
    <w:p w:rsidR="00C66667" w:rsidRPr="00735A87" w:rsidRDefault="00C66667" w:rsidP="00C66667">
      <w:pPr>
        <w:rPr>
          <w:sz w:val="22"/>
          <w:szCs w:val="22"/>
        </w:rPr>
      </w:pPr>
      <w:r>
        <w:rPr>
          <w:sz w:val="22"/>
          <w:szCs w:val="22"/>
        </w:rPr>
        <w:t>Rekomenduojama</w:t>
      </w:r>
      <w:r w:rsidRPr="00735A87">
        <w:rPr>
          <w:sz w:val="22"/>
          <w:szCs w:val="22"/>
        </w:rPr>
        <w:t xml:space="preserve"> dozė yra 1 kapsulė</w:t>
      </w:r>
      <w:r>
        <w:rPr>
          <w:sz w:val="22"/>
          <w:szCs w:val="22"/>
        </w:rPr>
        <w:t>, vartojama</w:t>
      </w:r>
      <w:r w:rsidRPr="00735A87">
        <w:rPr>
          <w:sz w:val="22"/>
          <w:szCs w:val="22"/>
        </w:rPr>
        <w:t xml:space="preserve"> vieną arba du kartus per parą</w:t>
      </w:r>
      <w:r>
        <w:rPr>
          <w:sz w:val="22"/>
          <w:szCs w:val="22"/>
        </w:rPr>
        <w:t>.</w:t>
      </w:r>
    </w:p>
    <w:p w:rsidR="00C66667" w:rsidRPr="007E15F7" w:rsidRDefault="00C66667" w:rsidP="00C66667">
      <w:pPr>
        <w:rPr>
          <w:sz w:val="22"/>
          <w:szCs w:val="22"/>
        </w:rPr>
      </w:pPr>
      <w:r w:rsidRPr="007E15F7">
        <w:rPr>
          <w:sz w:val="22"/>
          <w:szCs w:val="22"/>
        </w:rPr>
        <w:t>Paros dozė yra 1</w:t>
      </w:r>
      <w:r>
        <w:rPr>
          <w:sz w:val="22"/>
          <w:szCs w:val="22"/>
        </w:rPr>
        <w:t>–</w:t>
      </w:r>
      <w:r w:rsidRPr="007E15F7">
        <w:rPr>
          <w:sz w:val="22"/>
          <w:szCs w:val="22"/>
        </w:rPr>
        <w:t>2 kapsulės.</w:t>
      </w:r>
    </w:p>
    <w:p w:rsidR="00C66667" w:rsidRPr="00735A87" w:rsidRDefault="00C66667" w:rsidP="00C66667">
      <w:pPr>
        <w:rPr>
          <w:sz w:val="22"/>
          <w:szCs w:val="22"/>
          <w:u w:val="single"/>
        </w:rPr>
      </w:pPr>
    </w:p>
    <w:p w:rsidR="00C66667" w:rsidRPr="007E15F7" w:rsidRDefault="00C66667" w:rsidP="00C66667">
      <w:pPr>
        <w:rPr>
          <w:i/>
          <w:iCs/>
          <w:sz w:val="22"/>
          <w:szCs w:val="22"/>
          <w:u w:val="single"/>
        </w:rPr>
      </w:pPr>
      <w:r w:rsidRPr="007E15F7">
        <w:rPr>
          <w:i/>
          <w:iCs/>
          <w:sz w:val="22"/>
          <w:szCs w:val="22"/>
          <w:u w:val="single"/>
        </w:rPr>
        <w:t>Vartojimo metodas</w:t>
      </w:r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Kapsules </w:t>
      </w:r>
      <w:r>
        <w:rPr>
          <w:sz w:val="22"/>
          <w:szCs w:val="22"/>
        </w:rPr>
        <w:t>nu</w:t>
      </w:r>
      <w:r w:rsidRPr="00735A87">
        <w:rPr>
          <w:sz w:val="22"/>
          <w:szCs w:val="22"/>
        </w:rPr>
        <w:t>ryti užgeriant gurkšniu vandens arba at</w:t>
      </w:r>
      <w:r>
        <w:rPr>
          <w:sz w:val="22"/>
          <w:szCs w:val="22"/>
        </w:rPr>
        <w:t>idary</w:t>
      </w:r>
      <w:r w:rsidRPr="00735A87">
        <w:rPr>
          <w:sz w:val="22"/>
          <w:szCs w:val="22"/>
        </w:rPr>
        <w:t>tos kapsulės turinį supilti į nedidelį kiekį saldinto gėrimo</w:t>
      </w:r>
      <w:r>
        <w:rPr>
          <w:sz w:val="22"/>
          <w:szCs w:val="22"/>
        </w:rPr>
        <w:t xml:space="preserve"> arba</w:t>
      </w:r>
      <w:r w:rsidRPr="00735A87">
        <w:rPr>
          <w:sz w:val="22"/>
          <w:szCs w:val="22"/>
        </w:rPr>
        <w:t xml:space="preserve"> į maistą.</w:t>
      </w:r>
    </w:p>
    <w:p w:rsidR="00C66667" w:rsidRPr="00735A87" w:rsidRDefault="00C66667" w:rsidP="00C66667">
      <w:pPr>
        <w:pStyle w:val="BTEMEASMCA"/>
      </w:pPr>
      <w:r w:rsidRPr="00735A87">
        <w:t>Mažiems (iki 6</w:t>
      </w:r>
      <w:r>
        <w:t> </w:t>
      </w:r>
      <w:r w:rsidRPr="00735A87">
        <w:t xml:space="preserve">metų) vaikams kapsulių </w:t>
      </w:r>
      <w:r>
        <w:t xml:space="preserve">negirdyti, </w:t>
      </w:r>
      <w:r w:rsidRPr="00735A87">
        <w:t>kad</w:t>
      </w:r>
      <w:r>
        <w:t xml:space="preserve"> vaikas</w:t>
      </w:r>
      <w:r w:rsidRPr="00735A87">
        <w:t xml:space="preserve"> neužspringtų, bet jas at</w:t>
      </w:r>
      <w:r>
        <w:t>idari</w:t>
      </w:r>
      <w:r w:rsidRPr="00735A87">
        <w:t>us turinį supilti į gėrimą ar maistą.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Vaisto vartoti dar kelias </w:t>
      </w:r>
      <w:r>
        <w:rPr>
          <w:sz w:val="22"/>
          <w:szCs w:val="22"/>
        </w:rPr>
        <w:t>paras</w:t>
      </w:r>
      <w:r w:rsidRPr="00735A87">
        <w:rPr>
          <w:sz w:val="22"/>
          <w:szCs w:val="22"/>
        </w:rPr>
        <w:t>, pasibaigus viduriavimo simptomams.</w:t>
      </w:r>
    </w:p>
    <w:p w:rsidR="00C66667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b/>
          <w:bCs/>
        </w:rPr>
      </w:pPr>
      <w:r w:rsidRPr="007E15F7">
        <w:rPr>
          <w:b/>
          <w:bCs/>
        </w:rPr>
        <w:t>Ką daryti pavartojus per didelę Enterol dozę?</w:t>
      </w:r>
    </w:p>
    <w:p w:rsidR="00C66667" w:rsidRPr="00795845" w:rsidRDefault="00C66667" w:rsidP="00C66667">
      <w:pPr>
        <w:pStyle w:val="BTEMEASMCA"/>
      </w:pPr>
      <w:r w:rsidRPr="00795845">
        <w:t>Jeigu netyčia pavartojote per didelę vaisto dozę, nedelsiant kreipkitės į gydytoją arba vaistininką.</w:t>
      </w:r>
    </w:p>
    <w:p w:rsidR="00C66667" w:rsidRPr="004508C5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b/>
          <w:bCs/>
        </w:rPr>
      </w:pPr>
      <w:r w:rsidRPr="007E15F7">
        <w:rPr>
          <w:b/>
          <w:bCs/>
        </w:rPr>
        <w:t>Pamiršus pavartoti Enterol</w:t>
      </w:r>
    </w:p>
    <w:p w:rsidR="00C66667" w:rsidRPr="00795845" w:rsidRDefault="00C66667" w:rsidP="00C66667">
      <w:pPr>
        <w:pStyle w:val="BTEMEASMCA"/>
      </w:pPr>
      <w:r w:rsidRPr="00795845">
        <w:t>Negalima vartoti dvigubos dozės norint kompensuoti praleistą dozę.</w:t>
      </w:r>
    </w:p>
    <w:p w:rsidR="00C66667" w:rsidRPr="00E64351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b/>
          <w:bCs/>
        </w:rPr>
      </w:pPr>
      <w:r w:rsidRPr="007E15F7">
        <w:rPr>
          <w:b/>
          <w:bCs/>
        </w:rPr>
        <w:t>Nustojus vartoti Enterol</w:t>
      </w:r>
    </w:p>
    <w:p w:rsidR="00C66667" w:rsidRPr="00735A87" w:rsidRDefault="00C66667" w:rsidP="00C66667">
      <w:pPr>
        <w:pStyle w:val="BTEMEASMCA"/>
      </w:pPr>
      <w:r w:rsidRPr="00735A87">
        <w:t>Jeigu kiltų daugiau klausimų dėl šio vaisto vartojimo, kreipkitės į gydytoją arba vaistininką.</w:t>
      </w:r>
    </w:p>
    <w:p w:rsidR="00C6666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1EMEASMCA"/>
      </w:pPr>
      <w:bookmarkStart w:id="7" w:name="_Toc129243142"/>
      <w:bookmarkStart w:id="8" w:name="_Toc129243267"/>
      <w:r w:rsidRPr="00735A87">
        <w:t>4.</w:t>
      </w:r>
      <w:r w:rsidRPr="00735A87">
        <w:tab/>
        <w:t>Galimas šalutinis poveikis</w:t>
      </w:r>
      <w:bookmarkEnd w:id="7"/>
      <w:bookmarkEnd w:id="8"/>
      <w:r w:rsidRPr="00735A87">
        <w:t xml:space="preserve"> 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  <w:r w:rsidRPr="00735A87">
        <w:t>Šis vaistas, kaip ir visi kiti, gali sukelti šalutinį poveikį, nors jis pasireiškia ne visiems žmonėms.</w:t>
      </w:r>
    </w:p>
    <w:p w:rsidR="00C66667" w:rsidRDefault="00C66667" w:rsidP="00C66667">
      <w:pPr>
        <w:pStyle w:val="BTEMEASMCA"/>
      </w:pPr>
    </w:p>
    <w:p w:rsidR="00C66667" w:rsidRDefault="00C66667" w:rsidP="00C66667">
      <w:pPr>
        <w:pStyle w:val="BTEMEASMCA"/>
      </w:pPr>
      <w:r>
        <w:t>Toliau išvardytas tam tikru dažniu pasireiškiantis šalutinis poveikis.</w:t>
      </w:r>
    </w:p>
    <w:p w:rsidR="00C66667" w:rsidRDefault="00C66667" w:rsidP="00C66667">
      <w:pPr>
        <w:pStyle w:val="BTEMEASMCA"/>
      </w:pPr>
    </w:p>
    <w:p w:rsidR="00C66667" w:rsidRPr="00364072" w:rsidRDefault="00C66667" w:rsidP="00C66667">
      <w:pPr>
        <w:pStyle w:val="BTEMEASMCA"/>
      </w:pPr>
      <w:r w:rsidRPr="00BF492C">
        <w:rPr>
          <w:b/>
          <w:bCs/>
        </w:rPr>
        <w:t>Reti šalutinio poveikio reiškiniai (gali pasireikšti rečiau kaip 1 iš 1 000 asmenų):</w:t>
      </w:r>
      <w:r w:rsidRPr="00364072">
        <w:t xml:space="preserve"> </w:t>
      </w:r>
    </w:p>
    <w:p w:rsidR="00C66667" w:rsidRDefault="00C66667" w:rsidP="00C66667">
      <w:pPr>
        <w:pStyle w:val="BT-EMEASMCA"/>
        <w:tabs>
          <w:tab w:val="clear" w:pos="360"/>
        </w:tabs>
      </w:pPr>
      <w:r>
        <w:t>Virškinimo sutrikimai.</w:t>
      </w:r>
    </w:p>
    <w:p w:rsidR="00C66667" w:rsidRDefault="00C66667" w:rsidP="00C66667">
      <w:pPr>
        <w:pStyle w:val="BTEMEASMCA"/>
      </w:pPr>
    </w:p>
    <w:p w:rsidR="00C66667" w:rsidRPr="00364072" w:rsidRDefault="00C66667" w:rsidP="00C66667">
      <w:pPr>
        <w:pStyle w:val="BTEMEASMCA"/>
      </w:pPr>
      <w:r w:rsidRPr="00BF492C">
        <w:rPr>
          <w:b/>
          <w:bCs/>
        </w:rPr>
        <w:t>Labai reti šalutinio poveikio reiškiniai (gali pasireikšti rečiau kaip 1 iš 10 000 asmenų):</w:t>
      </w:r>
    </w:p>
    <w:p w:rsidR="00C66667" w:rsidRPr="00B830FD" w:rsidRDefault="00C66667" w:rsidP="00C66667">
      <w:pPr>
        <w:pStyle w:val="BT-EMEASMCA"/>
        <w:tabs>
          <w:tab w:val="clear" w:pos="360"/>
        </w:tabs>
      </w:pPr>
      <w:r>
        <w:t>Mieliagrybių prasiskverbimas į kraują (f</w:t>
      </w:r>
      <w:r w:rsidRPr="00D4448B">
        <w:t>ungemija) pacientams</w:t>
      </w:r>
      <w:r>
        <w:t xml:space="preserve">. </w:t>
      </w:r>
    </w:p>
    <w:p w:rsidR="00C66667" w:rsidRDefault="00C66667" w:rsidP="00C66667">
      <w:pPr>
        <w:pStyle w:val="BTEMEASMCA"/>
      </w:pPr>
    </w:p>
    <w:p w:rsidR="00C66667" w:rsidRPr="00364072" w:rsidRDefault="00C66667" w:rsidP="00C66667">
      <w:pPr>
        <w:pStyle w:val="BTEMEASMCA"/>
      </w:pPr>
      <w:r w:rsidRPr="00BF492C">
        <w:rPr>
          <w:b/>
          <w:bCs/>
        </w:rPr>
        <w:t>Šalutinio poveikio reiškiniai, kurių dažnis nežinomas (negali būti apskaičiuotas pagal turimus duomenis):</w:t>
      </w:r>
    </w:p>
    <w:p w:rsidR="00C66667" w:rsidRDefault="00C66667" w:rsidP="00C66667">
      <w:pPr>
        <w:pStyle w:val="BT-EMEASMCA"/>
        <w:tabs>
          <w:tab w:val="clear" w:pos="360"/>
        </w:tabs>
      </w:pPr>
      <w:r>
        <w:t>Padidėjusio jautrumo reakcijos – niežulys, dilgėlinė, vietinis ar išplitęs išbėrimas, angioneurozinė edema (veido, lūpų, ryklės ir (arba) liežuvio patinimas), dusulys, anafilaksinis šokas, vidurių užkietėjimas, sunkus kraujo užkrėtimas (sepsis).</w:t>
      </w:r>
    </w:p>
    <w:p w:rsidR="00C66667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b/>
          <w:bCs/>
        </w:rPr>
      </w:pPr>
      <w:r w:rsidRPr="007E15F7">
        <w:rPr>
          <w:b/>
          <w:bCs/>
        </w:rPr>
        <w:t>Pranešimas apie šalutinį poveikį</w:t>
      </w:r>
    </w:p>
    <w:p w:rsidR="00C66667" w:rsidRPr="00795845" w:rsidRDefault="00C66667" w:rsidP="00C66667">
      <w:pPr>
        <w:pStyle w:val="BTEMEASMCA"/>
      </w:pPr>
      <w:r w:rsidRPr="00795845">
        <w:t xml:space="preserve">Jeigu pasireiškė šalutinis poveikis, įskaitant šiame lapelyje nenurodytą, pasakykite gydytojui arba vaistininkui. </w:t>
      </w:r>
      <w:r w:rsidRPr="00BF492C">
        <w:t xml:space="preserve">Pranešimą apie šalutinį poveikį galite užpildyti ir pateikti Valstybinės vaistų kontrolės tarnybos prie Lietuvos Respublikos sveikatos apsaugos ministerijos tinklalapyje </w:t>
      </w:r>
      <w:r w:rsidRPr="00BF492C">
        <w:rPr>
          <w:rFonts w:eastAsia="Times New Roman"/>
          <w:noProof w:val="0"/>
          <w:color w:val="0000EE"/>
          <w:u w:val="single"/>
        </w:rPr>
        <w:t>https://vvkt.lrv.lt/lt/</w:t>
      </w:r>
      <w:r w:rsidRPr="00BF492C">
        <w:rPr>
          <w:rFonts w:eastAsia="Times New Roman"/>
          <w:noProof w:val="0"/>
        </w:rPr>
        <w:t xml:space="preserve"> </w:t>
      </w:r>
      <w:r w:rsidRPr="00BF492C">
        <w:t xml:space="preserve">nurodytais būdais arba paskambinti nemokamu telefonu 8 800 73 568. </w:t>
      </w:r>
      <w:r w:rsidRPr="00A22A35">
        <w:t>Pranešdami apie šalutinį poveikį galite mums padėti gauti daugiau informacijos apie šio vaisto saugumą.</w:t>
      </w:r>
    </w:p>
    <w:p w:rsidR="00C6666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1EMEASMCA"/>
      </w:pPr>
      <w:bookmarkStart w:id="9" w:name="_Toc129243143"/>
      <w:bookmarkStart w:id="10" w:name="_Toc129243268"/>
      <w:r w:rsidRPr="00735A87">
        <w:lastRenderedPageBreak/>
        <w:t>5.</w:t>
      </w:r>
      <w:r w:rsidRPr="00735A87">
        <w:tab/>
      </w:r>
      <w:bookmarkEnd w:id="9"/>
      <w:bookmarkEnd w:id="10"/>
      <w:r w:rsidRPr="00735A87">
        <w:t xml:space="preserve">Kaip laikyti </w:t>
      </w:r>
      <w:proofErr w:type="spellStart"/>
      <w:r w:rsidRPr="00735A87">
        <w:t>Enterol</w:t>
      </w:r>
      <w:proofErr w:type="spellEnd"/>
      <w:r w:rsidRPr="00735A87">
        <w:t xml:space="preserve"> 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>Šį vaistą laikykite vaikams nepastebimoje ir nepasiekiamoje vietoje.</w:t>
      </w:r>
    </w:p>
    <w:p w:rsidR="00C66667" w:rsidRPr="00735A8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>Laikyti ne aukštesnėje kaip 25</w:t>
      </w:r>
      <w:r>
        <w:rPr>
          <w:sz w:val="22"/>
          <w:szCs w:val="22"/>
        </w:rPr>
        <w:t> </w:t>
      </w:r>
      <w:r w:rsidRPr="00735A87">
        <w:rPr>
          <w:sz w:val="22"/>
          <w:szCs w:val="22"/>
        </w:rPr>
        <w:sym w:font="Symbol" w:char="F0B0"/>
      </w:r>
      <w:r w:rsidRPr="00735A87">
        <w:rPr>
          <w:sz w:val="22"/>
          <w:szCs w:val="22"/>
        </w:rPr>
        <w:t>C temperatūroje.</w:t>
      </w:r>
    </w:p>
    <w:p w:rsidR="00C66667" w:rsidRPr="00735A87" w:rsidRDefault="00C66667" w:rsidP="00C66667">
      <w:pPr>
        <w:pStyle w:val="BTEMEASMCA"/>
      </w:pPr>
      <w:r w:rsidRPr="00735A87">
        <w:t xml:space="preserve">Laikyti gamintojo pakuotėje, kad </w:t>
      </w:r>
      <w:r>
        <w:t>vaistas</w:t>
      </w:r>
      <w:r w:rsidRPr="00735A87">
        <w:t xml:space="preserve"> būtų apsaugotas nuo drėgmės.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  <w:rPr>
          <w:color w:val="0000FF"/>
        </w:rPr>
      </w:pPr>
      <w:r w:rsidRPr="00735A87">
        <w:t xml:space="preserve">Ant buteliuko etiketės arba paketėlio ir dėžutės po „Tinka iki“ nurodytam tinkamumo laikui pasibaigus, </w:t>
      </w:r>
      <w:r>
        <w:t>šio vaisto</w:t>
      </w:r>
      <w:r w:rsidRPr="00735A87">
        <w:t xml:space="preserve"> vartoti negalima. Vaistas tinkamas vartoti iki paskutinės nurodyto mėnesio dienos.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  <w:r w:rsidRPr="00735A87">
        <w:t>Vaistų negalima išmesti į kanalizaciją arba su buitinėmis atliekomis. Kaip išmesti nereikalingus vaistus, klauskite vaistininko. Šios priemonės padės apsaugoti aplinką.</w:t>
      </w:r>
    </w:p>
    <w:p w:rsidR="00C66667" w:rsidRPr="00735A87" w:rsidRDefault="00C66667" w:rsidP="00C66667">
      <w:pPr>
        <w:pStyle w:val="PI-1EMEASMCA"/>
        <w:ind w:left="0" w:firstLine="0"/>
      </w:pPr>
    </w:p>
    <w:p w:rsidR="00C66667" w:rsidRPr="00735A87" w:rsidRDefault="00C66667" w:rsidP="00C66667">
      <w:pPr>
        <w:pStyle w:val="PI-1EMEASMCA"/>
      </w:pPr>
    </w:p>
    <w:p w:rsidR="00C66667" w:rsidRPr="00735A87" w:rsidRDefault="00C66667" w:rsidP="00C66667">
      <w:pPr>
        <w:pStyle w:val="PI-1EMEASMCA"/>
      </w:pPr>
      <w:bookmarkStart w:id="11" w:name="_Toc129243144"/>
      <w:bookmarkStart w:id="12" w:name="_Toc129243269"/>
      <w:r w:rsidRPr="00735A87">
        <w:t>6.</w:t>
      </w:r>
      <w:r w:rsidRPr="00735A87">
        <w:tab/>
        <w:t>Pakuotės turinys ir kita informacija</w:t>
      </w:r>
      <w:bookmarkEnd w:id="11"/>
      <w:bookmarkEnd w:id="12"/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sudėtis</w:t>
      </w:r>
    </w:p>
    <w:p w:rsidR="00C66667" w:rsidRPr="00795845" w:rsidRDefault="00C66667" w:rsidP="00C66667">
      <w:pPr>
        <w:pStyle w:val="BT-EMEASMCA"/>
        <w:tabs>
          <w:tab w:val="clear" w:pos="360"/>
        </w:tabs>
      </w:pPr>
      <w:r w:rsidRPr="00DC7627">
        <w:t xml:space="preserve">Veiklioji medžiaga yra </w:t>
      </w:r>
      <w:r w:rsidRPr="00DC7627">
        <w:rPr>
          <w:i/>
        </w:rPr>
        <w:t>Saccharomyces boulardii</w:t>
      </w:r>
      <w:r w:rsidRPr="00D519A3">
        <w:t xml:space="preserve"> </w:t>
      </w:r>
      <w:r w:rsidRPr="00537174">
        <w:t>CNCM I-745</w:t>
      </w:r>
      <w:r w:rsidRPr="00DC7627">
        <w:rPr>
          <w:i/>
        </w:rPr>
        <w:t xml:space="preserve">. </w:t>
      </w:r>
      <w:r w:rsidRPr="00DC7627">
        <w:t>Kiekviename paketėlyje ir</w:t>
      </w:r>
      <w:r w:rsidRPr="00DC7627">
        <w:rPr>
          <w:i/>
        </w:rPr>
        <w:t xml:space="preserve"> </w:t>
      </w:r>
      <w:r w:rsidRPr="00DC7627">
        <w:t>kiekvienoje kietojoje kapsulėje yra 250</w:t>
      </w:r>
      <w:r w:rsidRPr="00A779DF">
        <w:t> </w:t>
      </w:r>
      <w:r w:rsidRPr="00DC7627">
        <w:t xml:space="preserve">mg liofilizuotų mielių </w:t>
      </w:r>
      <w:r w:rsidRPr="00DC7627">
        <w:rPr>
          <w:i/>
        </w:rPr>
        <w:t>Saccharomyces boulardii</w:t>
      </w:r>
      <w:r w:rsidRPr="00DC7627">
        <w:t xml:space="preserve"> </w:t>
      </w:r>
      <w:r w:rsidRPr="00537174">
        <w:t>CNCM I-745</w:t>
      </w:r>
      <w:r>
        <w:t xml:space="preserve"> </w:t>
      </w:r>
      <w:r w:rsidRPr="00DC7627">
        <w:t>ląstelių.</w:t>
      </w:r>
    </w:p>
    <w:p w:rsidR="00C66667" w:rsidRPr="00DC7627" w:rsidRDefault="00C66667" w:rsidP="00C66667">
      <w:pPr>
        <w:pStyle w:val="BT-EMEASMCA"/>
        <w:tabs>
          <w:tab w:val="clear" w:pos="360"/>
        </w:tabs>
      </w:pPr>
      <w:r w:rsidRPr="00DC7627">
        <w:t>Pagalbinės medžiagos</w:t>
      </w:r>
      <w:r>
        <w:t xml:space="preserve"> yra:</w:t>
      </w:r>
      <w:r w:rsidRPr="00DC7627">
        <w:t xml:space="preserve"> </w:t>
      </w:r>
    </w:p>
    <w:p w:rsidR="00C66667" w:rsidRPr="00D51437" w:rsidRDefault="00C66667" w:rsidP="00C66667">
      <w:pPr>
        <w:tabs>
          <w:tab w:val="left" w:pos="567"/>
        </w:tabs>
        <w:ind w:left="567"/>
        <w:rPr>
          <w:sz w:val="22"/>
          <w:szCs w:val="22"/>
        </w:rPr>
      </w:pPr>
      <w:proofErr w:type="spellStart"/>
      <w:r w:rsidRPr="00DC7627">
        <w:rPr>
          <w:sz w:val="22"/>
          <w:szCs w:val="22"/>
        </w:rPr>
        <w:t>Enterol</w:t>
      </w:r>
      <w:proofErr w:type="spellEnd"/>
      <w:r w:rsidRPr="00DC7627">
        <w:rPr>
          <w:sz w:val="22"/>
          <w:szCs w:val="22"/>
        </w:rPr>
        <w:t xml:space="preserve"> 250</w:t>
      </w:r>
      <w:r w:rsidRPr="00D51437">
        <w:rPr>
          <w:i/>
          <w:sz w:val="22"/>
          <w:szCs w:val="22"/>
        </w:rPr>
        <w:t> </w:t>
      </w:r>
      <w:r w:rsidRPr="00D51437">
        <w:rPr>
          <w:sz w:val="22"/>
          <w:szCs w:val="22"/>
        </w:rPr>
        <w:t xml:space="preserve">mg milteliuose geriamajai suspensijai yra laktozė </w:t>
      </w:r>
      <w:proofErr w:type="spellStart"/>
      <w:r w:rsidRPr="00D51437">
        <w:rPr>
          <w:sz w:val="22"/>
          <w:szCs w:val="22"/>
        </w:rPr>
        <w:t>monohidratas</w:t>
      </w:r>
      <w:proofErr w:type="spellEnd"/>
      <w:r w:rsidRPr="00D51437">
        <w:rPr>
          <w:sz w:val="22"/>
          <w:szCs w:val="22"/>
        </w:rPr>
        <w:t>, fruktozė, koloidinis bevandenis silicio dioksidas, vaisių skonio kvapioji medžiaga</w:t>
      </w:r>
      <w:r>
        <w:rPr>
          <w:sz w:val="22"/>
          <w:szCs w:val="22"/>
        </w:rPr>
        <w:t xml:space="preserve"> (sudėtyje yra </w:t>
      </w:r>
      <w:proofErr w:type="spellStart"/>
      <w:r>
        <w:rPr>
          <w:sz w:val="22"/>
          <w:szCs w:val="22"/>
        </w:rPr>
        <w:t>sorbitolio</w:t>
      </w:r>
      <w:proofErr w:type="spellEnd"/>
      <w:r>
        <w:rPr>
          <w:sz w:val="22"/>
          <w:szCs w:val="22"/>
        </w:rPr>
        <w:t>)</w:t>
      </w:r>
      <w:r w:rsidRPr="00D51437">
        <w:rPr>
          <w:sz w:val="22"/>
          <w:szCs w:val="22"/>
        </w:rPr>
        <w:t>.</w:t>
      </w:r>
    </w:p>
    <w:p w:rsidR="00C66667" w:rsidRPr="00795845" w:rsidRDefault="00C66667" w:rsidP="00C66667">
      <w:pPr>
        <w:pStyle w:val="BT-EMEASMCA"/>
        <w:numPr>
          <w:ilvl w:val="0"/>
          <w:numId w:val="0"/>
        </w:numPr>
        <w:ind w:left="567"/>
      </w:pPr>
      <w:r w:rsidRPr="00DC7627">
        <w:t>Enterol 250</w:t>
      </w:r>
      <w:r w:rsidRPr="00A779DF">
        <w:t> </w:t>
      </w:r>
      <w:r w:rsidRPr="00DC7627">
        <w:t xml:space="preserve">mg kietųjų kapsulių turinyje yra laktozė monohidratas, magnio stearatas; kapsulės apvalkale </w:t>
      </w:r>
      <w:r>
        <w:t>–</w:t>
      </w:r>
      <w:r w:rsidRPr="00DC7627">
        <w:t xml:space="preserve"> želatina, titano dioksidas (E171).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išvaizda ir kiekis pakuotėje</w:t>
      </w:r>
    </w:p>
    <w:p w:rsidR="00C66667" w:rsidRPr="00735A87" w:rsidRDefault="00C66667" w:rsidP="00C66667">
      <w:pPr>
        <w:pStyle w:val="BTEMEASMCA"/>
      </w:pPr>
      <w:r w:rsidRPr="00735A87">
        <w:t>Enterol 250</w:t>
      </w:r>
      <w:r>
        <w:t> </w:t>
      </w:r>
      <w:r w:rsidRPr="00735A87">
        <w:t>mg milteliai geriamajai suspensijai yra šviesiai rusvos spalvos vaisių kvapo milteliai.</w:t>
      </w:r>
    </w:p>
    <w:p w:rsidR="00C66667" w:rsidRPr="00735A87" w:rsidRDefault="00C66667" w:rsidP="00C66667">
      <w:pPr>
        <w:pStyle w:val="BTEMEASMCA"/>
      </w:pPr>
      <w:r w:rsidRPr="00735A87">
        <w:t>Enterol 250</w:t>
      </w:r>
      <w:r>
        <w:t> </w:t>
      </w:r>
      <w:r w:rsidRPr="00735A87">
        <w:t>mg kapsulės yra baltos, nepermatomos, kietos kapsulės.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  <w:r w:rsidRPr="00735A87">
        <w:t xml:space="preserve">Kartono dėžutėje yra </w:t>
      </w:r>
      <w:r>
        <w:t xml:space="preserve">10 arba </w:t>
      </w:r>
      <w:r w:rsidRPr="00735A87">
        <w:t>20</w:t>
      </w:r>
      <w:r>
        <w:t> </w:t>
      </w:r>
      <w:r w:rsidRPr="00735A87">
        <w:t>paketėlių</w:t>
      </w:r>
      <w:r>
        <w:t xml:space="preserve">, 10, </w:t>
      </w:r>
      <w:r w:rsidRPr="00735A87">
        <w:t>20</w:t>
      </w:r>
      <w:r>
        <w:t>, 30</w:t>
      </w:r>
      <w:r w:rsidRPr="00D20418">
        <w:t xml:space="preserve"> arba</w:t>
      </w:r>
      <w:r>
        <w:t xml:space="preserve"> 50 </w:t>
      </w:r>
      <w:r w:rsidRPr="00735A87">
        <w:t>kietųjų kapsulių, supakuotų į buteliuką</w:t>
      </w:r>
      <w:r>
        <w:t xml:space="preserve"> arba 5 lizdinės plokštelės po 6 kietąsias kapsules (30 kietųjų kapsulių).</w:t>
      </w:r>
    </w:p>
    <w:p w:rsidR="00C66667" w:rsidRPr="00735A87" w:rsidRDefault="00C66667" w:rsidP="00C66667">
      <w:pPr>
        <w:pStyle w:val="BTEMEASMCA"/>
      </w:pPr>
    </w:p>
    <w:p w:rsidR="00C66667" w:rsidRDefault="00C66667" w:rsidP="00C66667">
      <w:pPr>
        <w:pStyle w:val="PI-3EMEASMCA"/>
      </w:pPr>
      <w:r>
        <w:t>Registruotojas</w:t>
      </w:r>
      <w:r w:rsidRPr="00735A87">
        <w:t xml:space="preserve"> ir gamintojas</w:t>
      </w:r>
    </w:p>
    <w:p w:rsidR="00C66667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i/>
          <w:iCs/>
        </w:rPr>
      </w:pPr>
      <w:r w:rsidRPr="007E15F7">
        <w:rPr>
          <w:i/>
          <w:iCs/>
        </w:rPr>
        <w:t>Registruotojas</w:t>
      </w:r>
    </w:p>
    <w:p w:rsidR="00C66667" w:rsidRPr="00735A87" w:rsidRDefault="00C66667" w:rsidP="00C66667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Biocodex</w:t>
      </w:r>
      <w:proofErr w:type="spellEnd"/>
    </w:p>
    <w:p w:rsidR="00C66667" w:rsidRPr="00735A87" w:rsidRDefault="00C66667" w:rsidP="00C66667">
      <w:pPr>
        <w:rPr>
          <w:sz w:val="22"/>
          <w:szCs w:val="22"/>
        </w:rPr>
      </w:pPr>
      <w:r w:rsidRPr="00490472">
        <w:rPr>
          <w:sz w:val="22"/>
          <w:szCs w:val="22"/>
        </w:rPr>
        <w:t xml:space="preserve">22 </w:t>
      </w:r>
      <w:proofErr w:type="spellStart"/>
      <w:r>
        <w:rPr>
          <w:sz w:val="22"/>
          <w:szCs w:val="22"/>
        </w:rPr>
        <w:t>r</w:t>
      </w:r>
      <w:r w:rsidRPr="00490472">
        <w:rPr>
          <w:sz w:val="22"/>
          <w:szCs w:val="22"/>
        </w:rPr>
        <w:t>ue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des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Aqueducs</w:t>
      </w:r>
      <w:proofErr w:type="spellEnd"/>
    </w:p>
    <w:p w:rsidR="00C66667" w:rsidRPr="00735A87" w:rsidRDefault="00C66667" w:rsidP="00C66667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94250 </w:t>
      </w:r>
      <w:proofErr w:type="spellStart"/>
      <w:r w:rsidRPr="00735A87">
        <w:rPr>
          <w:sz w:val="22"/>
          <w:szCs w:val="22"/>
        </w:rPr>
        <w:t>Gentilly</w:t>
      </w:r>
      <w:proofErr w:type="spellEnd"/>
      <w:r w:rsidRPr="00735A87">
        <w:rPr>
          <w:sz w:val="22"/>
          <w:szCs w:val="22"/>
        </w:rPr>
        <w:t xml:space="preserve"> </w:t>
      </w:r>
    </w:p>
    <w:p w:rsidR="00C66667" w:rsidRPr="00735A87" w:rsidRDefault="00C66667" w:rsidP="00C66667">
      <w:pPr>
        <w:pStyle w:val="BTEMEASMCA"/>
      </w:pPr>
      <w:r w:rsidRPr="00735A87">
        <w:t>Prancūzija</w:t>
      </w:r>
    </w:p>
    <w:p w:rsidR="00C66667" w:rsidRDefault="00C66667" w:rsidP="00C66667">
      <w:pPr>
        <w:pStyle w:val="BTEMEASMCA"/>
      </w:pPr>
    </w:p>
    <w:p w:rsidR="00C66667" w:rsidRPr="007E15F7" w:rsidRDefault="00C66667" w:rsidP="00C66667">
      <w:pPr>
        <w:pStyle w:val="BTEMEASMCA"/>
        <w:rPr>
          <w:i/>
          <w:iCs/>
        </w:rPr>
      </w:pPr>
      <w:r w:rsidRPr="007E15F7">
        <w:rPr>
          <w:i/>
          <w:iCs/>
        </w:rPr>
        <w:t>Gamintojas</w:t>
      </w:r>
    </w:p>
    <w:p w:rsidR="00C66667" w:rsidRPr="00735A87" w:rsidRDefault="00C66667" w:rsidP="00C66667">
      <w:pPr>
        <w:pStyle w:val="Pagrindinistekstas"/>
        <w:spacing w:after="0"/>
        <w:rPr>
          <w:szCs w:val="22"/>
        </w:rPr>
      </w:pPr>
      <w:proofErr w:type="spellStart"/>
      <w:r w:rsidRPr="00735A87">
        <w:rPr>
          <w:szCs w:val="22"/>
        </w:rPr>
        <w:t>Biocodex</w:t>
      </w:r>
      <w:proofErr w:type="spellEnd"/>
    </w:p>
    <w:p w:rsidR="00C66667" w:rsidRPr="00735A87" w:rsidRDefault="00C66667" w:rsidP="00C66667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 xml:space="preserve">1, </w:t>
      </w:r>
      <w:proofErr w:type="spellStart"/>
      <w:r w:rsidRPr="00735A87">
        <w:rPr>
          <w:szCs w:val="22"/>
        </w:rPr>
        <w:t>avenue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Blaise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Pascal</w:t>
      </w:r>
      <w:proofErr w:type="spellEnd"/>
      <w:r w:rsidRPr="00735A87">
        <w:rPr>
          <w:szCs w:val="22"/>
        </w:rPr>
        <w:t xml:space="preserve"> </w:t>
      </w:r>
    </w:p>
    <w:p w:rsidR="00C66667" w:rsidRPr="00735A87" w:rsidRDefault="00C66667" w:rsidP="00C66667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>60 000-Beauvais</w:t>
      </w:r>
    </w:p>
    <w:p w:rsidR="00C66667" w:rsidRPr="00735A87" w:rsidRDefault="00C66667" w:rsidP="00C66667">
      <w:pPr>
        <w:pStyle w:val="BTEMEASMCA"/>
      </w:pPr>
      <w:r w:rsidRPr="00735A87">
        <w:t>Prancūzija</w:t>
      </w:r>
    </w:p>
    <w:p w:rsidR="00C66667" w:rsidRPr="00735A87" w:rsidRDefault="00C66667" w:rsidP="00C66667">
      <w:pPr>
        <w:pStyle w:val="BTEMEASMCA"/>
      </w:pPr>
    </w:p>
    <w:p w:rsidR="00C66667" w:rsidRPr="00735A87" w:rsidRDefault="00C66667" w:rsidP="00C66667">
      <w:pPr>
        <w:pStyle w:val="BTEMEASMCA"/>
      </w:pPr>
      <w:r w:rsidRPr="00735A87">
        <w:t xml:space="preserve">Jeigu apie šį vaistą norite sužinoti daugiau, kreipkitės į vietinį </w:t>
      </w:r>
      <w:r>
        <w:t>registruotojo</w:t>
      </w:r>
      <w:r w:rsidRPr="00735A87">
        <w:t xml:space="preserve"> atstovą</w:t>
      </w:r>
      <w:r>
        <w:t>:</w:t>
      </w:r>
    </w:p>
    <w:p w:rsidR="00C66667" w:rsidRPr="00735A87" w:rsidRDefault="00C66667" w:rsidP="00C66667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66667" w:rsidRPr="00735A87" w:rsidTr="00594E35">
        <w:tc>
          <w:tcPr>
            <w:tcW w:w="4678" w:type="dxa"/>
          </w:tcPr>
          <w:p w:rsidR="00C66667" w:rsidRPr="0080084E" w:rsidRDefault="00C66667" w:rsidP="00594E35">
            <w:pPr>
              <w:rPr>
                <w:sz w:val="22"/>
                <w:szCs w:val="22"/>
              </w:rPr>
            </w:pPr>
            <w:proofErr w:type="spellStart"/>
            <w:r w:rsidRPr="0080084E">
              <w:rPr>
                <w:sz w:val="22"/>
                <w:szCs w:val="22"/>
              </w:rPr>
              <w:t>Biocodex</w:t>
            </w:r>
            <w:proofErr w:type="spellEnd"/>
            <w:r w:rsidRPr="0080084E">
              <w:rPr>
                <w:sz w:val="22"/>
                <w:szCs w:val="22"/>
              </w:rPr>
              <w:t xml:space="preserve"> UAB </w:t>
            </w:r>
          </w:p>
          <w:p w:rsidR="00C66667" w:rsidRPr="0080084E" w:rsidRDefault="00C66667" w:rsidP="00594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Savanorių pr. 349</w:t>
            </w:r>
          </w:p>
          <w:p w:rsidR="00C66667" w:rsidRPr="0080084E" w:rsidRDefault="00C66667" w:rsidP="00594E35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>LT-</w:t>
            </w:r>
            <w:r>
              <w:rPr>
                <w:sz w:val="22"/>
                <w:szCs w:val="22"/>
              </w:rPr>
              <w:t>51480</w:t>
            </w:r>
            <w:r w:rsidRPr="0080084E">
              <w:rPr>
                <w:sz w:val="22"/>
                <w:szCs w:val="22"/>
              </w:rPr>
              <w:t xml:space="preserve"> Kaunas </w:t>
            </w:r>
          </w:p>
          <w:p w:rsidR="00C66667" w:rsidRPr="0080084E" w:rsidRDefault="00C66667" w:rsidP="00594E35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 xml:space="preserve">Lietuva </w:t>
            </w:r>
          </w:p>
          <w:p w:rsidR="00C66667" w:rsidRPr="0080084E" w:rsidRDefault="00C66667" w:rsidP="00594E35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lastRenderedPageBreak/>
              <w:t xml:space="preserve">Tel. +370 37 408681 </w:t>
            </w:r>
          </w:p>
          <w:p w:rsidR="00C66667" w:rsidRPr="0080084E" w:rsidRDefault="00C66667" w:rsidP="00594E35">
            <w:pPr>
              <w:rPr>
                <w:sz w:val="22"/>
                <w:szCs w:val="22"/>
              </w:rPr>
            </w:pPr>
            <w:proofErr w:type="spellStart"/>
            <w:r w:rsidRPr="0080084E">
              <w:rPr>
                <w:sz w:val="22"/>
                <w:szCs w:val="22"/>
              </w:rPr>
              <w:t>El.paštas</w:t>
            </w:r>
            <w:proofErr w:type="spellEnd"/>
            <w:r w:rsidRPr="0080084E">
              <w:rPr>
                <w:sz w:val="22"/>
                <w:szCs w:val="22"/>
              </w:rPr>
              <w:t xml:space="preserve"> </w:t>
            </w:r>
            <w:hyperlink r:id="rId5" w:history="1">
              <w:r w:rsidRPr="0080084E">
                <w:rPr>
                  <w:rStyle w:val="Hipersaitas"/>
                  <w:sz w:val="22"/>
                  <w:szCs w:val="22"/>
                </w:rPr>
                <w:t>info@biocodex.lt</w:t>
              </w:r>
            </w:hyperlink>
          </w:p>
          <w:p w:rsidR="00C66667" w:rsidRPr="0080084E" w:rsidRDefault="00C66667" w:rsidP="00594E35">
            <w:pPr>
              <w:tabs>
                <w:tab w:val="left" w:pos="-720"/>
              </w:tabs>
              <w:suppressAutoHyphens/>
            </w:pPr>
          </w:p>
        </w:tc>
      </w:tr>
    </w:tbl>
    <w:p w:rsidR="00C66667" w:rsidRPr="00735A87" w:rsidRDefault="00C66667" w:rsidP="00C66667">
      <w:pPr>
        <w:pStyle w:val="BTEMEASMCA"/>
      </w:pPr>
    </w:p>
    <w:p w:rsidR="00C66667" w:rsidRPr="00364072" w:rsidRDefault="00C66667" w:rsidP="00C66667">
      <w:pPr>
        <w:pStyle w:val="BTbEMEASMCA"/>
        <w:rPr>
          <w:b/>
        </w:rPr>
      </w:pPr>
      <w:r w:rsidRPr="00403AE1">
        <w:rPr>
          <w:b/>
        </w:rPr>
        <w:t>Šis pakuotės lapelis paskutinį kartą peržiūrėtas 202</w:t>
      </w:r>
      <w:r>
        <w:rPr>
          <w:b/>
        </w:rPr>
        <w:t>4</w:t>
      </w:r>
      <w:r w:rsidRPr="00403AE1">
        <w:rPr>
          <w:b/>
        </w:rPr>
        <w:t>-07-0</w:t>
      </w:r>
      <w:r>
        <w:rPr>
          <w:b/>
        </w:rPr>
        <w:t>1</w:t>
      </w:r>
      <w:r w:rsidRPr="00364072">
        <w:rPr>
          <w:b/>
        </w:rPr>
        <w:t>.</w:t>
      </w:r>
    </w:p>
    <w:p w:rsidR="00C66667" w:rsidRPr="00735A87" w:rsidRDefault="00C66667" w:rsidP="00C66667">
      <w:pPr>
        <w:rPr>
          <w:sz w:val="22"/>
          <w:szCs w:val="22"/>
        </w:rPr>
      </w:pPr>
    </w:p>
    <w:p w:rsidR="00C66667" w:rsidRPr="00735A87" w:rsidRDefault="00C66667" w:rsidP="00C66667">
      <w:pPr>
        <w:pStyle w:val="BTEMEASMCA"/>
      </w:pPr>
      <w:r>
        <w:t>Išsami informacija apie šį vaistą</w:t>
      </w:r>
      <w:r w:rsidRPr="00735A87">
        <w:t xml:space="preserve"> pateikiama Valstybinės vaistų kontrolės tarnybos prie Lietuvos Respublikos sveikatos apsaugos ministerijos </w:t>
      </w:r>
      <w:r>
        <w:t>tinklalapyje</w:t>
      </w:r>
      <w:r w:rsidRPr="00735A87">
        <w:t xml:space="preserve"> </w:t>
      </w:r>
      <w:r w:rsidRPr="00094554">
        <w:rPr>
          <w:rFonts w:eastAsia="Times New Roman"/>
          <w:noProof w:val="0"/>
          <w:color w:val="0000EE"/>
          <w:u w:val="single"/>
        </w:rPr>
        <w:t>https://vvkt.lrv.lt/lt/</w:t>
      </w:r>
      <w:r>
        <w:t>.</w:t>
      </w:r>
    </w:p>
    <w:p w:rsidR="00C66667" w:rsidRDefault="00C66667" w:rsidP="00C66667">
      <w:pPr>
        <w:rPr>
          <w:sz w:val="22"/>
          <w:szCs w:val="22"/>
        </w:rPr>
      </w:pPr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D82CD1"/>
    <w:multiLevelType w:val="hybridMultilevel"/>
    <w:tmpl w:val="29A02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D82C40"/>
    <w:multiLevelType w:val="hybridMultilevel"/>
    <w:tmpl w:val="AA144F32"/>
    <w:lvl w:ilvl="0" w:tplc="BC6855E2">
      <w:start w:val="4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6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7F7DCD"/>
    <w:rsid w:val="00B4219F"/>
    <w:rsid w:val="00BA39ED"/>
    <w:rsid w:val="00BA6577"/>
    <w:rsid w:val="00C30905"/>
    <w:rsid w:val="00C66667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3F93-1814-447E-A00C-127AD724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6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66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C66667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C66667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66667"/>
    <w:rPr>
      <w:rFonts w:eastAsia="Calibri"/>
      <w:noProof/>
      <w:sz w:val="22"/>
      <w:szCs w:val="22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C66667"/>
    <w:rPr>
      <w:rFonts w:ascii="Times New Roman" w:eastAsia="Calibri" w:hAnsi="Times New Roman" w:cs="Times New Roman"/>
      <w:noProof/>
      <w:lang w:eastAsia="lt-LT"/>
    </w:rPr>
  </w:style>
  <w:style w:type="paragraph" w:customStyle="1" w:styleId="BT-EMEASMCA">
    <w:name w:val="BT- EMEA_SMCA"/>
    <w:basedOn w:val="BTEMEASMCA"/>
    <w:autoRedefine/>
    <w:uiPriority w:val="99"/>
    <w:rsid w:val="00C66667"/>
    <w:pPr>
      <w:numPr>
        <w:numId w:val="3"/>
      </w:numPr>
      <w:tabs>
        <w:tab w:val="num" w:pos="360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C66667"/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C66667"/>
    <w:rPr>
      <w:bCs/>
    </w:rPr>
  </w:style>
  <w:style w:type="paragraph" w:customStyle="1" w:styleId="BTbeEMEASMCA">
    <w:name w:val="BT(be) EMEA_SMCA"/>
    <w:basedOn w:val="BTEMEASMCA"/>
    <w:autoRedefine/>
    <w:uiPriority w:val="99"/>
    <w:rsid w:val="00C66667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C66667"/>
    <w:pPr>
      <w:jc w:val="center"/>
    </w:pPr>
  </w:style>
  <w:style w:type="paragraph" w:styleId="Pagrindinistekstas">
    <w:name w:val="Body Text"/>
    <w:basedOn w:val="prastasis"/>
    <w:link w:val="PagrindinistekstasDiagrama"/>
    <w:uiPriority w:val="99"/>
    <w:rsid w:val="00C66667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66667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EMEAEnBodyText">
    <w:name w:val="EMEA En Body Text"/>
    <w:basedOn w:val="prastasis"/>
    <w:rsid w:val="00C66667"/>
    <w:pPr>
      <w:spacing w:before="120" w:after="120"/>
      <w:jc w:val="both"/>
    </w:pPr>
    <w:rPr>
      <w:rFonts w:eastAsiaTheme="minorHAnsi"/>
      <w:sz w:val="22"/>
      <w:szCs w:val="2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66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ocodex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6080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Edita Kondrotiene</cp:lastModifiedBy>
  <cp:revision>2</cp:revision>
  <dcterms:created xsi:type="dcterms:W3CDTF">2025-04-25T14:31:00Z</dcterms:created>
  <dcterms:modified xsi:type="dcterms:W3CDTF">2025-04-25T14:31:00Z</dcterms:modified>
</cp:coreProperties>
</file>